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uppressAutoHyphens/>
        <w:rPr>
          <w:rFonts w:hint="eastAsia"/>
          <w:lang w:val="en-US" w:eastAsia="zh-CN"/>
        </w:rPr>
      </w:pPr>
      <w:r>
        <w:rPr>
          <w:rFonts w:hint="eastAsia"/>
          <w:lang w:val="en-US" w:eastAsia="zh-CN"/>
        </w:rPr>
        <w:t>关于</w:t>
      </w:r>
      <w:r>
        <w:rPr>
          <w:rFonts w:hint="eastAsia"/>
          <w:lang w:val="en-US" w:eastAsia="zh-CN"/>
        </w:rPr>
        <w:t>井研县研城街道社区卫生服务中心</w:t>
      </w:r>
      <w:r>
        <w:rPr>
          <w:rFonts w:hint="eastAsia"/>
          <w:lang w:val="en-US" w:eastAsia="zh-CN"/>
        </w:rPr>
        <w:t>2024</w:t>
      </w:r>
      <w:r>
        <w:rPr>
          <w:rFonts w:hint="eastAsia"/>
          <w:lang w:val="en-US" w:eastAsia="zh-CN"/>
        </w:rPr>
        <w:t>年部门预算编制</w:t>
      </w:r>
      <w:r>
        <w:rPr>
          <w:rFonts w:hint="eastAsia"/>
          <w:lang w:val="en-US" w:eastAsia="zh-CN"/>
        </w:rPr>
        <w:t>的</w:t>
      </w:r>
      <w:r>
        <w:rPr>
          <w:rFonts w:hint="eastAsia"/>
          <w:lang w:val="en-US" w:eastAsia="zh-CN"/>
        </w:rPr>
        <w:t>说明</w:t>
      </w:r>
    </w:p>
    <w:p>
      <w:pPr>
        <w:suppressAutoHyphens/>
        <w:spacing w:line="600" w:lineRule="exact"/>
        <w:ind w:firstLine="640" w:firstLineChars="200"/>
        <w:rPr>
          <w:rFonts w:hint="eastAsia" w:ascii="仿宋_GB2312" w:hAnsi="Times New Roman" w:eastAsia="仿宋_GB2312"/>
          <w:sz w:val="32"/>
          <w:szCs w:val="32"/>
        </w:rPr>
      </w:pPr>
    </w:p>
    <w:p>
      <w:pPr>
        <w:suppressAutoHyphens/>
        <w:spacing w:line="600" w:lineRule="exact"/>
        <w:ind w:firstLine="640" w:firstLineChars="200"/>
        <w:rPr>
          <w:rFonts w:ascii="方正小标宋_GBK" w:hAnsi="方正小标宋_GBK" w:eastAsia="方正小标宋_GBK" w:cs="方正小标宋_GBK"/>
          <w:color w:val="000000"/>
          <w:kern w:val="0"/>
          <w:sz w:val="43"/>
          <w:szCs w:val="43"/>
          <w:lang w:bidi="ar"/>
        </w:rPr>
      </w:pPr>
      <w:r>
        <w:rPr>
          <w:rFonts w:hint="eastAsia" w:ascii="仿宋_GB2312" w:hAnsi="Times New Roman" w:eastAsia="仿宋_GB2312"/>
          <w:sz w:val="32"/>
          <w:szCs w:val="32"/>
        </w:rPr>
        <w:t>按照预算管理有关规定，目前部门预算的编制实行综合预算制度，即全部收入和支出都反映在预算中。</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一、基本职能及主要工作</w:t>
      </w:r>
    </w:p>
    <w:p>
      <w:pPr>
        <w:spacing w:line="580" w:lineRule="exact"/>
        <w:ind w:firstLine="643" w:firstLineChars="200"/>
        <w:jc w:val="left"/>
        <w:outlineLvl w:val="2"/>
        <w:rPr>
          <w:rFonts w:ascii="Times New Roman" w:hAnsi="Times New Roman" w:eastAsia="楷体_GB2312"/>
          <w:b/>
          <w:sz w:val="32"/>
          <w:szCs w:val="32"/>
        </w:rPr>
      </w:pPr>
      <w:r>
        <w:rPr>
          <w:rFonts w:ascii="Times New Roman" w:hAnsi="Times New Roman" w:eastAsia="楷体_GB2312"/>
          <w:b/>
          <w:sz w:val="32"/>
          <w:szCs w:val="32"/>
        </w:rPr>
        <w:t>(</w:t>
      </w:r>
      <w:r>
        <w:rPr>
          <w:rFonts w:hint="eastAsia" w:ascii="Times New Roman" w:hAnsi="Times New Roman" w:eastAsia="楷体_GB2312"/>
          <w:b/>
          <w:sz w:val="32"/>
          <w:szCs w:val="32"/>
        </w:rPr>
        <w:t>一</w:t>
      </w:r>
      <w:r>
        <w:rPr>
          <w:rFonts w:ascii="Times New Roman" w:hAnsi="Times New Roman" w:eastAsia="楷体_GB2312"/>
          <w:b/>
          <w:sz w:val="32"/>
          <w:szCs w:val="32"/>
        </w:rPr>
        <w:t>)</w:t>
      </w:r>
      <w:r>
        <w:rPr>
          <w:rFonts w:hint="eastAsia" w:ascii="Times New Roman" w:hAnsi="Times New Roman" w:eastAsia="楷体_GB2312"/>
          <w:b/>
          <w:sz w:val="32"/>
          <w:szCs w:val="32"/>
        </w:rPr>
        <w:t>井研县研城街道社区卫生服务中心单位</w:t>
      </w:r>
      <w:r>
        <w:rPr>
          <w:rFonts w:ascii="Times New Roman" w:hAnsi="Times New Roman" w:eastAsia="楷体_GB2312"/>
          <w:b/>
          <w:sz w:val="32"/>
          <w:szCs w:val="32"/>
        </w:rPr>
        <w:t>职能简介。</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研城街道社区卫生服务中心以人民健康为中心，以满足群众基本医疗为出发点，以提升医疗服务为主线，完善基层医疗卫生机构医疗、预防、保健、康复、“四位一体”的服务功能，增强群众对社区医院的信任度和获得感。</w:t>
      </w:r>
    </w:p>
    <w:p>
      <w:pPr>
        <w:numPr>
          <w:ilvl w:val="0"/>
          <w:numId w:val="1"/>
        </w:num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井研县研城街道社区卫生服务中心单位</w:t>
      </w:r>
      <w:r>
        <w:rPr>
          <w:rFonts w:ascii="Times New Roman" w:hAnsi="Times New Roman" w:eastAsia="楷体_GB2312"/>
          <w:b/>
          <w:sz w:val="32"/>
          <w:szCs w:val="32"/>
        </w:rPr>
        <w:t>重点工作。</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负责镇内医疗卫生工作，组织领导群众卫生运动，培训卫生技术人员并对基层卫生医疗机构进行业务指导和会诊工作;开展基本公共卫生服务项目;艾滋病防治宣传;乡镇卫生院是农村三级医疗网点的重要环节，担负着医疗防疫，保健的重要任务，是直接解决农村看病难看病贵的重要一关。</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二、部门概况</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井研县研城街道社区卫生服务中心属二级预算单位，单位性质为财政补助事业单位。</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三、收支预算总体情况</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按照综合预算的原则，井研县研城街道社区卫生服务中心所有收入和支出均纳入单位预算管理。收入包括：一般公共预算拨款收入、事业收入；支出包括：卫生健康支出、住房保障支出、社会保障和就业支出。井研县研城街道社区卫生服务中心2024年收支预算总数比2023年减少40.88万元，主要原因是用于保障该部门机构正常运转、完成日常工作任务以及承担我院基本医疗和基本公共卫生服务事业发展相关工作。</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（一）收入预算情况</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井研县研城街道社区卫生服务中心2024年收入预算1848.92万元，上年结转0万元；一般公共预算拨款收入648.92万元，占35.10%；事业收入1200.0万元，占64.90%。</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（二）支出预算情况</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w:t>
      </w:r>
      <w:r>
        <w:rPr>
          <w:rFonts w:hint="eastAsia" w:ascii="仿宋_GB2312" w:hAnsi="Calibri" w:eastAsia="仿宋_GB2312" w:cs="Times New Roman"/>
          <w:kern w:val="2"/>
          <w:sz w:val="32"/>
          <w:szCs w:val="32"/>
          <w:lang w:val="en-US" w:eastAsia="zh-CN" w:bidi="ar-SA"/>
        </w:rPr>
        <w:t>研县研城街道社区卫生服务中心2024年支出预算1848.92万元，其中：基本支出856.26万元，占46.31%项目支出992.66万元，占53.69%。</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四、财政拨款收支预算情况说明</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研城街道社区卫生服务中心2024年财政拨款收支预算总数648.92万元，比2023年财政拨款收支预算总数减少25.88万元。主要原因是用于保障该部门机构正常运转、完成日常工作任务以及承担我院基本医疗和基本公共卫生服务事业发展相关工作。</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收入包括： 一般公共预算拨款收入648.92万元；支出包括： 卫生健康支出495.01万元、 住房保障支出44.78万元、 社会保障和就业支出109.13万元。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五、一般公共预算当年拨款情况说明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（一）一般公共预算当年拨款规模变化情况</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井研县研城街道社区卫生服务中心2024年一般公共预算当年拨款648.92万元，比2023年预算数减少25.88万元。主要原因是因为设备设施维修、医疗设备购置、工资福利支出以及基本公共卫生补助增加。</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（二）一般公共预算当年拨款结构情况</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 卫生健康支出495.01万元，占76.28%、 住房保障支出44.78万元，占6.90%、 社会保障和就业支出109.13万元，占16.82%。</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（三）一般公共预算当年拨款具体使用情况</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1.社会保障和就业支出（类）行政事业单位养老支出（款）机关事业单位基本养老保险缴费支出（项）2024年预算数为50.75万元，主要用于：机关事业单位实施养老保险制度由单位缴纳的基本养老保险费支出。</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2.社会保障和就业支出（类）行政事业单位养老支出（款）机关事业单位职业年金缴费支出（项）2024年预算数为25.38万元，主要用于：机关事业单位实施养老保险制度由单位实际缴纳的职业年金支出。</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3.社会保障和就业支出（类）就业补助（款）其他就业补助支出（项）2024年预算数为33.0万元，主要用于：除上述项目以外按规定确定的其他用于促进就业的补助支出。</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4.卫生健康支出（类）基层医疗卫生机构（款）城市社区卫生机构（项）2024年预算数为453.23万元，主要用于：用于城市社区卫生机构的支岀。</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5.卫生健康支出（类）基层医疗卫生机构（款）其他基层医疗卫生机构支出（项）2024年预算数为16.65万元，主要用于：除上述项目以外的其他用于基层医疗卫生机构的支出</w:t>
      </w:r>
      <w:r>
        <w:rPr>
          <w:rFonts w:hint="eastAsia" w:ascii="仿宋_GB2312" w:eastAsia="仿宋_GB2312" w:cs="Times New Roman"/>
          <w:kern w:val="2"/>
          <w:sz w:val="32"/>
          <w:szCs w:val="32"/>
          <w:lang w:val="en-US" w:eastAsia="zh-CN" w:bidi="ar-SA"/>
        </w:rPr>
        <w:t>。</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6.卫生健康支出（类）行政事业单位医疗（款）事业单位医疗（项）2024年预算数为21.1万元，主要用于：财政部门安排的事业单位基本医疗保险缴费经费，未参加医疗保险的事业单位的公费医疗经费，按国家规定享受离休人员待遇的医疗经费。</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7.卫生健康支出（类）行政事业单位医疗（款）其他行政事业单位医疗支出（项）2024年预算数为4.02万元，主要用于：除上述项目以外的其他用于行政事业单位医疗方面的支出。</w:t>
      </w:r>
    </w:p>
    <w:p>
      <w:pPr>
        <w:spacing w:line="580" w:lineRule="exact"/>
        <w:ind w:firstLine="640" w:firstLineChars="200"/>
        <w:jc w:val="left"/>
        <w:rPr>
          <w:rFonts w:ascii="仿宋" w:hAnsi="仿宋" w:eastAsia="仿宋" w:cs="仿宋"/>
          <w:sz w:val="32"/>
          <w:szCs w:val="32"/>
        </w:rPr>
      </w:pPr>
      <w:r>
        <w:rPr>
          <w:rFonts w:hint="eastAsia" w:ascii="仿宋_GB2312" w:hAnsi="Calibri" w:eastAsia="仿宋_GB2312" w:cs="Times New Roman"/>
          <w:kern w:val="2"/>
          <w:sz w:val="32"/>
          <w:szCs w:val="32"/>
          <w:lang w:val="en-US" w:eastAsia="zh-CN" w:bidi="ar-SA"/>
        </w:rPr>
        <w:t>8.住房保障支出（类）住房改革支出（款）住房公积金（项）2024年预算数为44.78万元，主要用于：行政事业单位按人力资源和社会保障部、财政部规定的基本工资和津贴补贴以及规定比例为职工缴纳的住房公积金。</w:t>
      </w:r>
      <w:r>
        <w:rPr>
          <w:rFonts w:hint="eastAsia" w:ascii="仿宋_GB2312" w:hAnsi="Calibri" w:eastAsia="仿宋_GB2312" w:cs="Times New Roman"/>
          <w:kern w:val="2"/>
          <w:sz w:val="32"/>
          <w:szCs w:val="32"/>
          <w:lang w:val="en-US" w:eastAsia="zh-CN" w:bidi="ar-SA"/>
        </w:rPr>
        <w:cr/>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六、一般公共预算基本支出情况说明</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井研县研城街道社区卫生服务中心2024年一般公共预算基本支出488.17万元，其中：</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人员经费 484.37万元，主要包括：基本工资、津贴补贴、伙食补助费、绩效工资、机关事业单位基本养老保险缴费、职业年金缴费、职工基本医疗保险缴费、其他社会保障缴费、住房公积金、奖励金。</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公用经费 3.81万元，主要包括：工会经费。</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七、政府性基金预算支出规模及变化情况说明</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井研县研城街道社区卫生服务中心2024年没有使用政府性基金预算拨款安排的支出。</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八、国有资本经营预算情况说明</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Calibri" w:eastAsia="仿宋_GB2312" w:cs="Times New Roman"/>
          <w:kern w:val="2"/>
          <w:sz w:val="32"/>
          <w:szCs w:val="32"/>
          <w:lang w:val="en-US" w:eastAsia="zh-CN" w:bidi="ar-SA"/>
        </w:rPr>
        <w:t>井研县研城街道社区卫生服务中心2024年没有使用国有资本经营预算拨款安排的支出。</w:t>
      </w:r>
    </w:p>
    <w:p>
      <w:pPr>
        <w:spacing w:line="580" w:lineRule="exact"/>
        <w:ind w:firstLine="640" w:firstLineChars="200"/>
        <w:jc w:val="left"/>
        <w:outlineLvl w:val="1"/>
        <w:rPr>
          <w:rFonts w:ascii="Times New Roman" w:hAnsi="Times New Roman" w:eastAsia="仿宋_GB2312"/>
          <w:sz w:val="32"/>
          <w:szCs w:val="32"/>
        </w:rPr>
      </w:pPr>
      <w:r>
        <w:rPr>
          <w:rFonts w:hint="eastAsia" w:ascii="Times New Roman" w:hAnsi="Times New Roman" w:eastAsia="黑体"/>
          <w:sz w:val="32"/>
          <w:szCs w:val="32"/>
        </w:rPr>
        <w:t>九、“三公”经费财政拨款预算安排情况说明</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井研县研城街道社区卫生服务中心2024年没有使用财政拨款安排“三公”经费预算。</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 因公出国（境）经费较上年预算0万元，与上年持平</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2.公务接待费较2023年预算数持平。</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2024年公务接待费计划用于公务接待。</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3.公务用车购置及运行维护费较2023年预算数持平。</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单位现有公务用车1辆，其中：轿车1辆、旅行车（含商务车）0辆、越野车0辆、大型客、货车0辆。</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2024年安排公务用车购置费0万元，拟购置公务用车0辆，其中：轿车0辆、旅行车（含商务车）0辆、越野车0辆、大型客、货车0辆。</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2024年安排公务用车运行维护费0万元，用于</w:t>
      </w:r>
      <w:r>
        <w:rPr>
          <w:rFonts w:hint="eastAsia" w:ascii="仿宋_GB2312" w:eastAsia="仿宋_GB2312" w:cs="Times New Roman"/>
          <w:kern w:val="2"/>
          <w:sz w:val="32"/>
          <w:szCs w:val="32"/>
          <w:lang w:val="en-US" w:eastAsia="zh-CN" w:bidi="ar-SA"/>
        </w:rPr>
        <w:t>0</w:t>
      </w:r>
      <w:r>
        <w:rPr>
          <w:rFonts w:hint="eastAsia" w:ascii="仿宋_GB2312" w:hAnsi="Calibri" w:eastAsia="仿宋_GB2312" w:cs="Times New Roman"/>
          <w:kern w:val="2"/>
          <w:sz w:val="32"/>
          <w:szCs w:val="32"/>
          <w:lang w:val="en-US" w:eastAsia="zh-CN" w:bidi="ar-SA"/>
        </w:rPr>
        <w:t>辆公务用车燃油、维修、过路过桥费、保险等方面支出。</w:t>
      </w:r>
    </w:p>
    <w:p>
      <w:pPr>
        <w:spacing w:line="578" w:lineRule="exact"/>
        <w:ind w:firstLine="640" w:firstLineChars="200"/>
        <w:jc w:val="left"/>
        <w:rPr>
          <w:rFonts w:ascii="仿宋_GB2312" w:hAnsi="仿宋_GB2312" w:eastAsia="仿宋_GB2312" w:cs="仿宋_GB2312"/>
          <w:sz w:val="32"/>
          <w:szCs w:val="32"/>
        </w:rPr>
      </w:pP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十、其他重要事项的情况说明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（一）机关运行经费情况</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井研县研城街道社区卫生服务中心为事业单位，按规定未使用机关运行的相关科目。</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（二）政府采购情况</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Calibri" w:eastAsia="仿宋_GB2312" w:cs="Times New Roman"/>
          <w:kern w:val="2"/>
          <w:sz w:val="32"/>
          <w:szCs w:val="32"/>
          <w:lang w:val="en-US" w:eastAsia="zh-CN" w:bidi="ar-SA"/>
        </w:rPr>
        <w:t>2024年</w:t>
      </w:r>
      <w:r>
        <w:rPr>
          <w:rFonts w:hint="eastAsia" w:ascii="仿宋_GB2312" w:eastAsia="仿宋_GB2312" w:cs="Times New Roman"/>
          <w:kern w:val="2"/>
          <w:sz w:val="32"/>
          <w:szCs w:val="32"/>
          <w:lang w:val="en-US" w:eastAsia="zh-CN" w:bidi="ar-SA"/>
        </w:rPr>
        <w:t>有</w:t>
      </w:r>
      <w:r>
        <w:rPr>
          <w:rFonts w:hint="eastAsia" w:ascii="仿宋_GB2312" w:hAnsi="Calibri" w:eastAsia="仿宋_GB2312" w:cs="Times New Roman"/>
          <w:kern w:val="2"/>
          <w:sz w:val="32"/>
          <w:szCs w:val="32"/>
          <w:lang w:val="en-US" w:eastAsia="zh-CN" w:bidi="ar-SA"/>
        </w:rPr>
        <w:t>政府采购项目，安排政府采购预算</w:t>
      </w:r>
      <w:r>
        <w:rPr>
          <w:rFonts w:hint="eastAsia" w:ascii="仿宋_GB2312" w:eastAsia="仿宋_GB2312" w:cs="Times New Roman"/>
          <w:kern w:val="2"/>
          <w:sz w:val="32"/>
          <w:szCs w:val="32"/>
          <w:lang w:val="en-US" w:eastAsia="zh-CN" w:bidi="ar-SA"/>
        </w:rPr>
        <w:t>46.75万元，用于购买电梯和空调机</w:t>
      </w:r>
      <w:r>
        <w:rPr>
          <w:rFonts w:hint="eastAsia" w:ascii="仿宋_GB2312" w:hAnsi="Calibri" w:eastAsia="仿宋_GB2312" w:cs="Times New Roman"/>
          <w:kern w:val="2"/>
          <w:sz w:val="32"/>
          <w:szCs w:val="32"/>
          <w:lang w:val="en-US" w:eastAsia="zh-CN" w:bidi="ar-SA"/>
        </w:rPr>
        <w:t>。</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（三）政府购买服务情况。</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2024年井研县研城街道社区卫生服务中心安排政府购买服务预算0万元，较上年持平。</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（四）国有资产占有使用情况</w:t>
      </w:r>
    </w:p>
    <w:p>
      <w:pPr>
        <w:spacing w:line="578" w:lineRule="exact"/>
        <w:ind w:firstLine="640" w:firstLineChars="200"/>
        <w:jc w:val="left"/>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截至2023年底，井研县研城街道社区卫生服务中心所属各预算单位共有车辆1辆，其中省部级领导干部用车0辆、定向保障用车1辆、执法执勤用车0辆。单位价值200万元以上大型设备0台（套）。</w:t>
      </w:r>
    </w:p>
    <w:p>
      <w:pPr>
        <w:spacing w:line="578" w:lineRule="exact"/>
        <w:ind w:firstLine="640" w:firstLineChars="200"/>
        <w:jc w:val="left"/>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2024年单位预算未安排购置车辆及单位价值200万元以上大型设备。</w:t>
      </w:r>
    </w:p>
    <w:p>
      <w:pPr>
        <w:spacing w:line="578" w:lineRule="exact"/>
        <w:ind w:firstLine="640" w:firstLineChars="200"/>
        <w:jc w:val="left"/>
        <w:rPr>
          <w:rFonts w:ascii="仿宋_GB2312" w:hAnsi="仿宋_GB2312" w:eastAsia="仿宋_GB2312" w:cs="仿宋_GB2312"/>
          <w:sz w:val="32"/>
          <w:szCs w:val="32"/>
        </w:rPr>
      </w:pP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（五）绩效目标设置情况</w:t>
      </w:r>
    </w:p>
    <w:p>
      <w:pPr>
        <w:spacing w:line="578" w:lineRule="exact"/>
        <w:ind w:firstLine="640" w:firstLineChars="200"/>
        <w:jc w:val="left"/>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2024年井研县研城街道社区卫生服务中心开展绩效目标管理的项目18个，涉及预算1073.42万元。其中：人员类项目0个，涉及预算0万元；运转类项目3个，涉及预算80.76万元；特定目标类项目15个，涉及预算992.66万元。</w:t>
      </w:r>
    </w:p>
    <w:p>
      <w:pPr>
        <w:spacing w:line="580" w:lineRule="exact"/>
        <w:ind w:firstLine="643" w:firstLineChars="200"/>
        <w:jc w:val="left"/>
        <w:outlineLvl w:val="2"/>
        <w:rPr>
          <w:rFonts w:hint="eastAsia" w:ascii="Times New Roman" w:hAnsi="Times New Roman" w:eastAsia="楷体_GB2312"/>
          <w:b/>
          <w:sz w:val="32"/>
          <w:szCs w:val="32"/>
          <w:lang w:val="en-US" w:eastAsia="zh-CN"/>
        </w:rPr>
      </w:pPr>
      <w:r>
        <w:rPr>
          <w:rFonts w:hint="eastAsia" w:ascii="Times New Roman" w:hAnsi="Times New Roman" w:eastAsia="楷体_GB2312"/>
          <w:b/>
          <w:sz w:val="32"/>
          <w:szCs w:val="32"/>
          <w:lang w:val="en-US" w:eastAsia="zh-CN"/>
        </w:rPr>
        <w:t>十一、名词解释</w:t>
      </w:r>
    </w:p>
    <w:p>
      <w:pPr>
        <w:pStyle w:val="5"/>
        <w:widowControl/>
        <w:spacing w:before="0" w:beforeAutospacing="0" w:after="0" w:afterAutospacing="0"/>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 xml:space="preserve">1.一般公共预算拨款收入：指省级财政当年拨付的资金。 </w:t>
      </w:r>
    </w:p>
    <w:p>
      <w:pPr>
        <w:pStyle w:val="5"/>
        <w:widowControl/>
        <w:spacing w:before="0" w:beforeAutospacing="0" w:after="0" w:afterAutospacing="0"/>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2.社会保障和就业支出（类）行政事业单位养老支出（款）机关事业单位基本养老保险缴费支出（项）：反映机关事业单位实施养老保险制度由单位缴纳的基本养老保险费支出</w:t>
      </w:r>
      <w:r>
        <w:rPr>
          <w:rFonts w:hint="eastAsia" w:ascii="仿宋_GB2312" w:eastAsia="仿宋_GB2312" w:cs="Times New Roman"/>
          <w:kern w:val="2"/>
          <w:sz w:val="32"/>
          <w:szCs w:val="32"/>
          <w:lang w:val="en-US" w:eastAsia="zh-CN" w:bidi="ar-SA"/>
        </w:rPr>
        <w:t>。</w:t>
      </w:r>
      <w:bookmarkStart w:id="0" w:name="_GoBack"/>
      <w:bookmarkEnd w:id="0"/>
    </w:p>
    <w:p>
      <w:pPr>
        <w:pStyle w:val="5"/>
        <w:widowControl/>
        <w:spacing w:before="0" w:beforeAutospacing="0" w:after="0" w:afterAutospacing="0"/>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3.社会保障和就业支出（类）行政事业单位养老支出（款）机关事业单位职业年金缴费支出（项）：反映机关事业单位实施养老保险制度由单位实际缴纳的职业年金支出。</w:t>
      </w:r>
    </w:p>
    <w:p>
      <w:pPr>
        <w:pStyle w:val="5"/>
        <w:widowControl/>
        <w:spacing w:before="0" w:beforeAutospacing="0" w:after="0" w:afterAutospacing="0"/>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4.社会保障和就业支出（类）就业补助（款）其他就业补助支出（项）：反映除上述项目以外按规定确定的其他用于促进就业的补助支出。</w:t>
      </w:r>
    </w:p>
    <w:p>
      <w:pPr>
        <w:pStyle w:val="5"/>
        <w:widowControl/>
        <w:spacing w:before="0" w:beforeAutospacing="0" w:after="0" w:afterAutospacing="0"/>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5.卫生健康支出（类）基层医疗卫生机构（款）城市社区卫生机构（项）：反映用于城市社区卫生机构的支岀。</w:t>
      </w:r>
    </w:p>
    <w:p>
      <w:pPr>
        <w:pStyle w:val="5"/>
        <w:widowControl/>
        <w:spacing w:before="0" w:beforeAutospacing="0" w:after="0" w:afterAutospacing="0"/>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6.卫生健康支出（类）基层医疗卫生机构（款）其他基层医疗卫生机构支出（项）：反映除上述项目以外的其他用于基层医疗卫生机构的支出。</w:t>
      </w:r>
    </w:p>
    <w:p>
      <w:pPr>
        <w:pStyle w:val="5"/>
        <w:widowControl/>
        <w:spacing w:before="0" w:beforeAutospacing="0" w:after="0" w:afterAutospacing="0"/>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7.卫生健康支出（类）行政事业单位医疗（款）事业单位医疗（项）：反映财政部门安排的事业单位基本医疗保险缴费经费，未参加医疗保险的事业单位的公费医疗经费，按国家规定享受离休人员待遇的医疗经费。</w:t>
      </w:r>
    </w:p>
    <w:p>
      <w:pPr>
        <w:pStyle w:val="5"/>
        <w:widowControl/>
        <w:spacing w:before="0" w:beforeAutospacing="0" w:after="0" w:afterAutospacing="0"/>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8.卫生健康支出（类）行政事业单位医疗（款）其他行政事业单位医疗支出（项）：反映除上述项目以外的其他用于行政事业单位医疗方面的支出。</w:t>
      </w:r>
    </w:p>
    <w:p>
      <w:pPr>
        <w:pStyle w:val="5"/>
        <w:widowControl/>
        <w:spacing w:before="0" w:beforeAutospacing="0" w:after="0" w:afterAutospacing="0"/>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9.住房保障支出（类）住房改革支出（款）住房公积金（项）：反映行政事业单位按人力资源和社会保障部、财政部规定的基本工资和津贴补贴以及规定比例为职工缴纳的住房公积金。</w:t>
      </w:r>
    </w:p>
    <w:p>
      <w:pPr>
        <w:pStyle w:val="5"/>
        <w:widowControl/>
        <w:spacing w:before="0" w:beforeAutospacing="0" w:after="0" w:afterAutospacing="0"/>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10.基本支出：指为保证机构正常运转，完成日常工作任务而发生的人员支出和公用支出。</w:t>
      </w:r>
    </w:p>
    <w:p>
      <w:pPr>
        <w:pStyle w:val="5"/>
        <w:widowControl/>
        <w:spacing w:before="0" w:beforeAutospacing="0" w:after="0" w:afterAutospacing="0"/>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11.项目支出：指在基本支出之外为完成特定行政任务和事业发展目标所发生的支出。</w:t>
      </w:r>
    </w:p>
    <w:p>
      <w:pPr>
        <w:pStyle w:val="5"/>
        <w:widowControl/>
        <w:spacing w:before="0" w:beforeAutospacing="0" w:after="0" w:afterAutospacing="0"/>
        <w:ind w:firstLine="640" w:firstLineChars="200"/>
        <w:rPr>
          <w:rFonts w:hint="eastAsia" w:ascii="仿宋_GB2312"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12.“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eastAsia="仿宋_GB2312" w:cs="Times New Roman"/>
          <w:kern w:val="2"/>
          <w:sz w:val="32"/>
          <w:szCs w:val="32"/>
          <w:lang w:val="en-US" w:eastAsia="zh-CN" w:bidi="ar-SA"/>
        </w:rPr>
        <w:t>。</w:t>
      </w:r>
    </w:p>
    <w:p>
      <w:pPr>
        <w:pStyle w:val="5"/>
        <w:widowControl/>
        <w:spacing w:before="0" w:beforeAutospacing="0" w:after="0" w:afterAutospacing="0"/>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13.机关运行经费：为保障行政单位（包含参照公务员法管理的事业单位）运行用于购买货物和服务的各项资金。包括办公及印刷费、邮电费、差旅费、会议费一般设备购置费等费用开支。</w:t>
      </w:r>
      <w:r>
        <w:rPr>
          <w:rFonts w:hint="eastAsia" w:ascii="仿宋_GB2312" w:hAnsi="Calibri" w:eastAsia="仿宋_GB2312" w:cs="Times New Roman"/>
          <w:kern w:val="2"/>
          <w:sz w:val="32"/>
          <w:szCs w:val="32"/>
          <w:lang w:val="en-US" w:eastAsia="zh-CN" w:bidi="ar-SA"/>
        </w:rPr>
        <w:cr/>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0596E4"/>
    <w:multiLevelType w:val="singleLevel"/>
    <w:tmpl w:val="450596E4"/>
    <w:lvl w:ilvl="0" w:tentative="0">
      <w:start w:val="2"/>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2ZDViNTQyYjVmNjMwNDY0OWZlNjg5YjljNzg0MjIifQ=="/>
  </w:docVars>
  <w:rsids>
    <w:rsidRoot w:val="575844F0"/>
    <w:rsid w:val="000F56AF"/>
    <w:rsid w:val="002571C7"/>
    <w:rsid w:val="002801C7"/>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E90C48"/>
    <w:rsid w:val="00EA26C5"/>
    <w:rsid w:val="00F20CDD"/>
    <w:rsid w:val="00F31DEC"/>
    <w:rsid w:val="00F66036"/>
    <w:rsid w:val="00FD5790"/>
    <w:rsid w:val="011E0F37"/>
    <w:rsid w:val="018F6151"/>
    <w:rsid w:val="025F2B31"/>
    <w:rsid w:val="02AA63F4"/>
    <w:rsid w:val="02F620C9"/>
    <w:rsid w:val="03043EF9"/>
    <w:rsid w:val="03131341"/>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8A0974"/>
    <w:rsid w:val="1ADB600A"/>
    <w:rsid w:val="1AE72EE7"/>
    <w:rsid w:val="1B9C22AA"/>
    <w:rsid w:val="1C001B5A"/>
    <w:rsid w:val="1C676AC0"/>
    <w:rsid w:val="1C8979CD"/>
    <w:rsid w:val="1C915908"/>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5D7D05"/>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E7EAE"/>
    <w:rsid w:val="6313764B"/>
    <w:rsid w:val="63161C90"/>
    <w:rsid w:val="6367280D"/>
    <w:rsid w:val="641C5084"/>
    <w:rsid w:val="64771E53"/>
    <w:rsid w:val="64CD4737"/>
    <w:rsid w:val="64D1385B"/>
    <w:rsid w:val="64DD1C81"/>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8E0759"/>
    <w:rsid w:val="729953A7"/>
    <w:rsid w:val="729A1F96"/>
    <w:rsid w:val="72B03B7B"/>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uiPriority w:val="0"/>
    <w:rPr>
      <w:rFonts w:ascii="Calibri" w:hAnsi="Calibri"/>
      <w:kern w:val="2"/>
      <w:sz w:val="18"/>
      <w:szCs w:val="18"/>
    </w:rPr>
  </w:style>
  <w:style w:type="paragraph" w:customStyle="1" w:styleId="9">
    <w:name w:val="〖A08〗公文标题"/>
    <w:basedOn w:val="1"/>
    <w:next w:val="1"/>
    <w:autoRedefine/>
    <w:qFormat/>
    <w:uiPriority w:val="0"/>
    <w:pPr>
      <w:topLinePunct/>
      <w:spacing w:line="600" w:lineRule="exact"/>
      <w:jc w:val="center"/>
    </w:pPr>
    <w:rPr>
      <w:rFonts w:ascii="方正小标宋简体" w:hAnsi="Calibri" w:eastAsia="方正小标宋简体"/>
      <w:sz w:val="44"/>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268</Words>
  <Characters>1528</Characters>
  <Lines>12</Lines>
  <Paragraphs>3</Paragraphs>
  <TotalTime>3</TotalTime>
  <ScaleCrop>false</ScaleCrop>
  <LinksUpToDate>false</LinksUpToDate>
  <CharactersWithSpaces>1793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WPS_1704891512</cp:lastModifiedBy>
  <dcterms:modified xsi:type="dcterms:W3CDTF">2024-02-01T08:29:24Z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90C743278B2449B68D9060BE06880FDD</vt:lpwstr>
  </property>
</Properties>
</file>